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A4A4A"/>
          <w:sz w:val="18"/>
          <w:szCs w:val="18"/>
        </w:rPr>
      </w:pPr>
      <w:r>
        <w:rPr>
          <w:rFonts w:ascii="Calibri-Bold" w:hAnsi="Calibri-Bold" w:cs="Calibri-Bold"/>
          <w:b/>
          <w:bCs/>
          <w:color w:val="4A4A4A"/>
          <w:sz w:val="18"/>
          <w:szCs w:val="18"/>
        </w:rPr>
        <w:t>Data Retention Policy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>How we operate.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UTHFITT is a coaching company located in the UK.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Clients typically contact us via our Contact option on our website, via email or phone.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Clients using the website leave a name and a contact number but this information is retained as a general enquiry email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only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Typically, that client’s name and email address is stored on the general email software programme; and we have client names and phone numbers on a mobile phone.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We have clients that follow UTHFITT Ltd on Facebook, LinkedIn and Twitter but we do not store any data on clients beyond the normal facility offered by these platforms.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Typically, we will engage in a series of emails currently via Gmail (Google). If a client is invoiced, we typically ask for the</w:t>
      </w:r>
    </w:p>
    <w:p w:rsidR="003A797F" w:rsidRDefault="00AA6093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invoice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able</w:t>
      </w:r>
      <w:r w:rsidR="003A797F">
        <w:rPr>
          <w:rFonts w:ascii="Calibri" w:hAnsi="Calibri" w:cs="Calibri"/>
          <w:color w:val="262626"/>
          <w:sz w:val="18"/>
          <w:szCs w:val="18"/>
        </w:rPr>
        <w:t xml:space="preserve"> name of the Company and their registered office. The invoice is typically generated and that invoice will have the client’s company name and address and information relating to the purchase.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A client will usually pay an invoice via direct deposit to our bank and show standard band transaction details. Our bank account is accessed via the internet via a rigorous password procedure.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We keep business cards and client promotional literature for the life of that client relationship. We do not have a customer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relations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management system that stores client information.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With permission, we take client notes. Please note that we do not record</w:t>
      </w:r>
      <w:r w:rsidR="00AA6093">
        <w:rPr>
          <w:rFonts w:ascii="Calibri" w:hAnsi="Calibri" w:cs="Calibri"/>
          <w:color w:val="262626"/>
          <w:sz w:val="18"/>
          <w:szCs w:val="18"/>
        </w:rPr>
        <w:t xml:space="preserve"> </w:t>
      </w:r>
      <w:r>
        <w:rPr>
          <w:rFonts w:ascii="Calibri" w:hAnsi="Calibri" w:cs="Calibri"/>
          <w:color w:val="262626"/>
          <w:sz w:val="18"/>
          <w:szCs w:val="18"/>
        </w:rPr>
        <w:t xml:space="preserve">sensitive information about our clients financial </w:t>
      </w:r>
      <w:r w:rsidR="00AA6093">
        <w:rPr>
          <w:rFonts w:ascii="Calibri" w:hAnsi="Calibri" w:cs="Calibri"/>
          <w:color w:val="262626"/>
          <w:sz w:val="18"/>
          <w:szCs w:val="18"/>
        </w:rPr>
        <w:t>information but we may</w:t>
      </w:r>
      <w:r>
        <w:rPr>
          <w:rFonts w:ascii="Calibri" w:hAnsi="Calibri" w:cs="Calibri"/>
          <w:color w:val="262626"/>
          <w:sz w:val="18"/>
          <w:szCs w:val="18"/>
        </w:rPr>
        <w:t xml:space="preserve"> record information re health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that  a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safety reason between coach  and  client.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If we group email people, the contact details are always in the Blind Carbon Copy slot; and we only email people who have</w:t>
      </w:r>
      <w:r w:rsidR="00AA6093">
        <w:rPr>
          <w:rFonts w:ascii="Calibri" w:hAnsi="Calibri" w:cs="Calibri"/>
          <w:color w:val="262626"/>
          <w:sz w:val="18"/>
          <w:szCs w:val="18"/>
        </w:rPr>
        <w:t xml:space="preserve"> </w:t>
      </w:r>
      <w:r>
        <w:rPr>
          <w:rFonts w:ascii="Calibri" w:hAnsi="Calibri" w:cs="Calibri"/>
          <w:color w:val="262626"/>
          <w:sz w:val="18"/>
          <w:szCs w:val="18"/>
        </w:rPr>
        <w:t>given permission to receive a group email i.e., a small group of course participants. We do not share email addresses with</w:t>
      </w:r>
      <w:r w:rsidR="00AA6093">
        <w:rPr>
          <w:rFonts w:ascii="Calibri" w:hAnsi="Calibri" w:cs="Calibri"/>
          <w:color w:val="262626"/>
          <w:sz w:val="18"/>
          <w:szCs w:val="18"/>
        </w:rPr>
        <w:t xml:space="preserve"> </w:t>
      </w:r>
      <w:r>
        <w:rPr>
          <w:rFonts w:ascii="Calibri" w:hAnsi="Calibri" w:cs="Calibri"/>
          <w:color w:val="262626"/>
          <w:sz w:val="18"/>
          <w:szCs w:val="18"/>
        </w:rPr>
        <w:t>other course members.</w:t>
      </w:r>
    </w:p>
    <w:p w:rsidR="00AA6093" w:rsidRDefault="00AA6093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>Introduction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This data retention policy sets out the obligations of</w:t>
      </w:r>
      <w:r w:rsidR="00AA6093">
        <w:rPr>
          <w:rFonts w:ascii="Calibri" w:hAnsi="Calibri" w:cs="Calibri"/>
          <w:color w:val="262626"/>
          <w:sz w:val="18"/>
          <w:szCs w:val="18"/>
        </w:rPr>
        <w:t xml:space="preserve"> UTHFITT LTD</w:t>
      </w:r>
      <w:r>
        <w:rPr>
          <w:rFonts w:ascii="Calibri" w:hAnsi="Calibri" w:cs="Calibri"/>
          <w:color w:val="262626"/>
          <w:sz w:val="18"/>
          <w:szCs w:val="18"/>
        </w:rPr>
        <w:t xml:space="preserve"> (“us/we/our”) and the basis upon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which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we shall retain, review and destroy data held by us, or within our custody or control. This policy applies to its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director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, and sub-contractors and sets out what the retention periods are and when any such data may be deleted.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>Objectives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It is necessary to retain and process certain information to enable our business to operate. We may store data in the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following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places: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•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desktop</w:t>
      </w:r>
      <w:proofErr w:type="gramEnd"/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•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any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third-party servers – Google, QuickBooks;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•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potential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email accounts;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•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potential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backup storage; and/or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•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paper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files.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This policy applies equally to paper, electronic media and any other method used to store personal data. The period of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retention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only commences when the record is closed. We are bound by various obligations under the law in relation to this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and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therefore, to comply with the law, information must be collected and used fairly, stored safely and not disclosed to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any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other person unlawfully in respect of their personal data under the General Data Protection Regulation (“the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Regulation”).</w:t>
      </w:r>
      <w:proofErr w:type="gramEnd"/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The Regulation defines “personal data” as any information relating to an identified or identifiable natural person (a data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subject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); an identifiable natural person is one who can be identified, directly or indirectly, in particular by reference to an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identifier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such as a name, an identification number, location data, an online identifier, or to one or more factors specific to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physical, physiological, genetic, mental, economic, cultural, or social identity of that natural person.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This Policy sets out the procedures that are to be followed when dealing with personal data and how we aim to comply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with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the Regulation in so far as it is possible. In summary, the Regulation states that all personal data shall be: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a)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processed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lawfully, fairly, and in a transparent manner in relation to the data subject;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b)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collected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for specified, explicit, and legitimate purposes and not further processed in a manner that is incompatible with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those purposes; further processing for archiving purposes in the public interest, scientific or historical research purposes or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statistical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purposes shall not be considered to be incompatible with the initial purposes;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c)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adequate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, relevant and limited to what is necessary in relation to the purposes for which it is processed;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d)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accurate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and, where necessary, kept up to date; every reasonable step must be taken to ensure that personal data that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is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inaccurate, having regard to the purposes for which they are processed, is erased or rectified without delay;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e)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kept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in a form which permits identification of data subjects for no longer than is necessary for the purposes for which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personal data is processed; personal data may be stored for longer periods insofar as the personal data will be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processed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solely for archiving purposes in the public interest, scientific or historical research purposes or statistical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purposes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subject to implementation of the appropriate technical and organisational measures required by the Regulation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in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order to safeguard the rights and freedoms of the data subject;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f)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processed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in a manner that ensures appropriate security of the personal data, including protection against unauthorised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or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unlawful processing and against accidental loss, destruction or damage, using appropriate technical or organisational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lastRenderedPageBreak/>
        <w:t>measures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The Fourth and Fifth Data Protection Principles require that any data should not be kept longer than necessary for the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purpose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for which it is processed and when it is no longer required, it shall be deleted and that the data should be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adequate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, relevant and limited for the purpose in which it is processed. With this in mind, this policy should be read in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conjunction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with our other policies, which are relevant such as our Privacy, Cookie and Terms and Conditions Policy.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>Security and Storage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All data and records are stored securely to avoid misuse or loss. We will take appropriate security measures against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unlawful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or unauthorised processing of personal data, and against the accidental loss of, or damage to, personal data. We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employ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encrypted hard drive backup to maintain the security of all personal data from the point of collection to the point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of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destruction. Personal data will only be transferred to a data processor if there is agreement by them to comply with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those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procedures and policies, or if there are adequate measures in place.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Our data storage facilities are as follows: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SymbolMT" w:hAnsi="SymbolMT" w:cs="SymbolMT"/>
          <w:color w:val="262626"/>
          <w:sz w:val="18"/>
          <w:szCs w:val="18"/>
        </w:rPr>
        <w:t xml:space="preserve">• </w:t>
      </w:r>
      <w:r>
        <w:rPr>
          <w:rFonts w:ascii="Calibri" w:hAnsi="Calibri" w:cs="Calibri"/>
          <w:color w:val="262626"/>
          <w:sz w:val="18"/>
          <w:szCs w:val="18"/>
        </w:rPr>
        <w:t>On an external hard drive stored separate to the desktop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We will maintain data security by protecting the confidentiality, integrity and availability of the personal data, defined as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follows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: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(a) Confidentiality means that only people who are authorised to use the data can access it.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(b) Integrity means that personal data should be accurate and suitable for the purpose for which it is processed.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(c) Availability means that authorised users should be able to access the data if they need it for authorised purposes.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Personal data should therefore be stored on our central computer system instead of individual PCs.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>Retention Policy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Data retention is defined as the retention of data for a specific period of time and for back up purposes. We shall not keep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any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personal data longer than necessary, but acknowledge that this will be dependent on the different types of documents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and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data that we have responsibility for. As such, our general data retention period shall be for a period, which is outlined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in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the table below. Our specific data retention periods are set out below: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 xml:space="preserve">Type of Data: </w:t>
      </w:r>
      <w:r>
        <w:rPr>
          <w:rFonts w:ascii="Calibri" w:hAnsi="Calibri" w:cs="Calibri"/>
          <w:color w:val="262626"/>
          <w:sz w:val="18"/>
          <w:szCs w:val="18"/>
        </w:rPr>
        <w:t>Coaching Clients/Training clients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 xml:space="preserve">Type of Data Collected: </w:t>
      </w:r>
      <w:r>
        <w:rPr>
          <w:rFonts w:ascii="Calibri" w:hAnsi="Calibri" w:cs="Calibri"/>
          <w:color w:val="262626"/>
          <w:sz w:val="18"/>
          <w:szCs w:val="18"/>
        </w:rPr>
        <w:t>First/Last name, Company name, Email address, web address, registered office address,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Mobile/telephone number, </w:t>
      </w:r>
      <w:proofErr w:type="gramStart"/>
      <w:r>
        <w:rPr>
          <w:rFonts w:ascii="Calibri" w:hAnsi="Calibri" w:cs="Calibri"/>
          <w:color w:val="262626"/>
          <w:sz w:val="18"/>
          <w:szCs w:val="18"/>
        </w:rPr>
        <w:t>Banking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details – branch, account and sort code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 xml:space="preserve">Type of Data: </w:t>
      </w:r>
      <w:r>
        <w:rPr>
          <w:rFonts w:ascii="Calibri" w:hAnsi="Calibri" w:cs="Calibri"/>
          <w:color w:val="262626"/>
          <w:sz w:val="18"/>
          <w:szCs w:val="18"/>
        </w:rPr>
        <w:t>Product purchasers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 xml:space="preserve">Type of Data Collected: </w:t>
      </w:r>
      <w:r>
        <w:rPr>
          <w:rFonts w:ascii="Calibri" w:hAnsi="Calibri" w:cs="Calibri"/>
          <w:color w:val="262626"/>
          <w:sz w:val="18"/>
          <w:szCs w:val="18"/>
        </w:rPr>
        <w:t>First/Last name, credit card details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NB: We do not collate any data as it relates to web campaigns (opened, clicked, replied emails, answered phone calls,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responded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to text messages) that we have sent them. From time to time, it may be necessary to retain or access historic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personal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data under certain circumstances such as if we have contractually agreed to do so or if we have become involved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in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unforeseen events like litigation or business disaster recoveries.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8"/>
          <w:szCs w:val="18"/>
        </w:rPr>
      </w:pPr>
      <w:r>
        <w:rPr>
          <w:rFonts w:ascii="Calibri-Bold" w:hAnsi="Calibri-Bold" w:cs="Calibri-Bold"/>
          <w:b/>
          <w:bCs/>
          <w:color w:val="262626"/>
          <w:sz w:val="18"/>
          <w:szCs w:val="18"/>
        </w:rPr>
        <w:t>Destruction and Disposal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Upon expiry of our retention periods, we shall delete confidential or sensitive records categorised as requiring high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protection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and very high protection, and we shall either delete or </w:t>
      </w:r>
      <w:proofErr w:type="spellStart"/>
      <w:r>
        <w:rPr>
          <w:rFonts w:ascii="Calibri" w:hAnsi="Calibri" w:cs="Calibri"/>
          <w:color w:val="262626"/>
          <w:sz w:val="18"/>
          <w:szCs w:val="18"/>
        </w:rPr>
        <w:t>anonymise</w:t>
      </w:r>
      <w:proofErr w:type="spellEnd"/>
      <w:r>
        <w:rPr>
          <w:rFonts w:ascii="Calibri" w:hAnsi="Calibri" w:cs="Calibri"/>
          <w:color w:val="262626"/>
          <w:sz w:val="18"/>
          <w:szCs w:val="18"/>
        </w:rPr>
        <w:t xml:space="preserve"> less important documents.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Our Director and designated Data Protection Officer is responsible for the continuing process of identifying the records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that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 xml:space="preserve"> have met their required retention period and supervising their destruction if needed. The destruction of confidential,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proofErr w:type="gramStart"/>
      <w:r>
        <w:rPr>
          <w:rFonts w:ascii="Calibri" w:hAnsi="Calibri" w:cs="Calibri"/>
          <w:color w:val="262626"/>
          <w:sz w:val="18"/>
          <w:szCs w:val="18"/>
        </w:rPr>
        <w:t>financial</w:t>
      </w:r>
      <w:proofErr w:type="gramEnd"/>
      <w:r>
        <w:rPr>
          <w:rFonts w:ascii="Calibri" w:hAnsi="Calibri" w:cs="Calibri"/>
          <w:color w:val="262626"/>
          <w:sz w:val="18"/>
          <w:szCs w:val="18"/>
        </w:rPr>
        <w:t>, and personnel-related records shall be securely destroyed electronically or by shredding if possible.</w:t>
      </w:r>
    </w:p>
    <w:p w:rsidR="003A797F" w:rsidRDefault="003A797F" w:rsidP="003A7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Non-confidential records may be destroyed by shredding and recycling.</w:t>
      </w:r>
    </w:p>
    <w:p w:rsidR="00681F94" w:rsidRDefault="003A797F" w:rsidP="003A797F">
      <w:r>
        <w:rPr>
          <w:rFonts w:ascii="Calibri" w:hAnsi="Calibri" w:cs="Calibri"/>
          <w:color w:val="262626"/>
          <w:sz w:val="18"/>
          <w:szCs w:val="18"/>
        </w:rPr>
        <w:t>Please contact</w:t>
      </w:r>
    </w:p>
    <w:sectPr w:rsidR="00681F94" w:rsidSect="004F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797F"/>
    <w:rsid w:val="000709F6"/>
    <w:rsid w:val="003A797F"/>
    <w:rsid w:val="004F0601"/>
    <w:rsid w:val="005E14A6"/>
    <w:rsid w:val="00AA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2020-01-07T10:38:00Z</dcterms:created>
  <dcterms:modified xsi:type="dcterms:W3CDTF">2020-01-07T10:52:00Z</dcterms:modified>
</cp:coreProperties>
</file>